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EA13" w14:textId="0F2ED23F" w:rsidR="00023AC2" w:rsidRDefault="00023AC2" w:rsidP="00023AC2">
      <w:pPr>
        <w:spacing w:after="0" w:line="240" w:lineRule="auto"/>
        <w:jc w:val="right"/>
        <w:rPr>
          <w:rFonts w:ascii="Times New Roman" w:hAnsi="Times New Roman" w:cs="Times New Roman"/>
        </w:rPr>
      </w:pPr>
    </w:p>
    <w:p w14:paraId="12448033" w14:textId="77777777" w:rsidR="00023AC2" w:rsidRDefault="00023AC2" w:rsidP="00023AC2">
      <w:pPr>
        <w:spacing w:after="0" w:line="240" w:lineRule="auto"/>
        <w:jc w:val="right"/>
        <w:rPr>
          <w:rFonts w:ascii="Times New Roman" w:hAnsi="Times New Roman" w:cs="Times New Roman"/>
        </w:rPr>
      </w:pPr>
    </w:p>
    <w:p w14:paraId="43539307" w14:textId="1898CFD2" w:rsidR="00023AC2" w:rsidRPr="00023AC2" w:rsidRDefault="00023AC2" w:rsidP="00023AC2">
      <w:pPr>
        <w:spacing w:after="0" w:line="240" w:lineRule="auto"/>
        <w:jc w:val="center"/>
        <w:rPr>
          <w:rFonts w:ascii="Times New Roman" w:hAnsi="Times New Roman" w:cs="Times New Roman"/>
          <w:b/>
        </w:rPr>
      </w:pPr>
      <w:r w:rsidRPr="00023AC2">
        <w:rPr>
          <w:rFonts w:ascii="Times New Roman" w:hAnsi="Times New Roman" w:cs="Times New Roman"/>
          <w:b/>
        </w:rPr>
        <w:t>ОБЪЯВЛЕНИЕ</w:t>
      </w:r>
    </w:p>
    <w:p w14:paraId="783C56D2" w14:textId="77777777" w:rsidR="00023AC2" w:rsidRPr="00023AC2" w:rsidRDefault="00023AC2" w:rsidP="00023AC2">
      <w:pPr>
        <w:spacing w:after="0" w:line="240" w:lineRule="auto"/>
        <w:jc w:val="center"/>
        <w:rPr>
          <w:rFonts w:ascii="Times New Roman" w:hAnsi="Times New Roman" w:cs="Times New Roman"/>
          <w:b/>
        </w:rPr>
      </w:pPr>
      <w:bookmarkStart w:id="0" w:name="_Hlk162863403"/>
      <w:r w:rsidRPr="00023AC2">
        <w:rPr>
          <w:rFonts w:ascii="Times New Roman" w:hAnsi="Times New Roman" w:cs="Times New Roman"/>
          <w:b/>
        </w:rPr>
        <w:t xml:space="preserve">о проведении конкурсного отбора </w:t>
      </w:r>
      <w:r w:rsidRPr="00023AC2">
        <w:rPr>
          <w:rFonts w:ascii="Times New Roman" w:hAnsi="Times New Roman" w:cs="Times New Roman"/>
          <w:b/>
          <w:bCs/>
        </w:rPr>
        <w:t>на право получения в 2024 году субсидии юридическими лицами (за исключением государственных (муниципальных) учреждений), индивидуальными предпринимателями, реализующим образовательные программы дошкольного образования, для возмещения части затрат, связанных с содержанием имущества и оказанием услуг по присмотру и уходу за детьми</w:t>
      </w:r>
    </w:p>
    <w:bookmarkEnd w:id="0"/>
    <w:p w14:paraId="3DDBA9FB" w14:textId="77777777" w:rsidR="00023AC2" w:rsidRPr="00023AC2" w:rsidRDefault="00023AC2" w:rsidP="00023AC2">
      <w:pPr>
        <w:spacing w:after="0" w:line="240" w:lineRule="auto"/>
        <w:jc w:val="both"/>
        <w:rPr>
          <w:rFonts w:ascii="Times New Roman" w:hAnsi="Times New Roman" w:cs="Times New Roman"/>
          <w:b/>
        </w:rPr>
      </w:pPr>
    </w:p>
    <w:p w14:paraId="2F14C70B" w14:textId="77777777" w:rsidR="00023AC2" w:rsidRPr="00023AC2" w:rsidRDefault="00023AC2" w:rsidP="00023AC2">
      <w:pPr>
        <w:spacing w:after="0" w:line="240" w:lineRule="auto"/>
        <w:jc w:val="both"/>
        <w:rPr>
          <w:rFonts w:ascii="Times New Roman" w:hAnsi="Times New Roman" w:cs="Times New Roman"/>
        </w:rPr>
      </w:pPr>
      <w:r w:rsidRPr="00023AC2">
        <w:rPr>
          <w:rFonts w:ascii="Times New Roman" w:hAnsi="Times New Roman" w:cs="Times New Roman"/>
        </w:rPr>
        <w:t xml:space="preserve"> </w:t>
      </w:r>
    </w:p>
    <w:p w14:paraId="4B24C810" w14:textId="77777777" w:rsidR="00023AC2" w:rsidRPr="00023AC2" w:rsidRDefault="00023AC2" w:rsidP="00023AC2">
      <w:pPr>
        <w:spacing w:after="0" w:line="240" w:lineRule="auto"/>
        <w:jc w:val="both"/>
        <w:rPr>
          <w:rFonts w:ascii="Times New Roman" w:hAnsi="Times New Roman" w:cs="Times New Roman"/>
        </w:rPr>
      </w:pPr>
    </w:p>
    <w:p w14:paraId="5D1BEA33" w14:textId="77777777" w:rsidR="00023AC2" w:rsidRPr="00023AC2" w:rsidRDefault="00023AC2" w:rsidP="00D42A81">
      <w:pPr>
        <w:spacing w:after="0" w:line="240" w:lineRule="auto"/>
        <w:ind w:firstLine="680"/>
        <w:jc w:val="both"/>
        <w:rPr>
          <w:rFonts w:ascii="Times New Roman" w:hAnsi="Times New Roman" w:cs="Times New Roman"/>
        </w:rPr>
      </w:pPr>
      <w:r w:rsidRPr="00023AC2">
        <w:rPr>
          <w:rFonts w:ascii="Times New Roman" w:hAnsi="Times New Roman" w:cs="Times New Roman"/>
        </w:rPr>
        <w:t xml:space="preserve">Настоящий конкурсный отбор проводится </w:t>
      </w:r>
      <w:bookmarkStart w:id="1" w:name="_Hlk162864173"/>
      <w:r w:rsidRPr="00023AC2">
        <w:rPr>
          <w:rFonts w:ascii="Times New Roman" w:hAnsi="Times New Roman" w:cs="Times New Roman"/>
        </w:rPr>
        <w:t xml:space="preserve">в соответствии с </w:t>
      </w:r>
      <w:r w:rsidRPr="00023AC2">
        <w:rPr>
          <w:rFonts w:ascii="Times New Roman" w:hAnsi="Times New Roman" w:cs="Times New Roman"/>
          <w:bCs/>
        </w:rPr>
        <w:t>Порядком предоставления в 2024 году субсидии из бюджета Тосненского муниципального района Ленинградской области, утвержденным постановлением администрации Тосненского муниципального района Ленинградской области от 28.03.2024 № 999-па «Об утверждении Порядка предоставления субсидий юридическим лицам (за исключением государственных (муниципальных) учреждений), индивидуальным предпринимателям, реализующим основные общеобразовательные программы дошкольного образования, для возмещения части затрат, связанных с содержанием имущества и оказанием услуг по присмотру и уходу за детьми»</w:t>
      </w:r>
      <w:r w:rsidRPr="00023AC2">
        <w:rPr>
          <w:rFonts w:ascii="Times New Roman" w:hAnsi="Times New Roman" w:cs="Times New Roman"/>
        </w:rPr>
        <w:t xml:space="preserve"> </w:t>
      </w:r>
      <w:bookmarkEnd w:id="1"/>
      <w:r w:rsidRPr="00023AC2">
        <w:rPr>
          <w:rFonts w:ascii="Times New Roman" w:hAnsi="Times New Roman" w:cs="Times New Roman"/>
        </w:rPr>
        <w:t>(далее-Порядок).</w:t>
      </w:r>
    </w:p>
    <w:p w14:paraId="12F47EF2" w14:textId="77777777" w:rsidR="00023AC2" w:rsidRPr="00023AC2" w:rsidRDefault="00023AC2" w:rsidP="00023AC2">
      <w:pPr>
        <w:spacing w:after="0" w:line="240" w:lineRule="auto"/>
        <w:jc w:val="both"/>
        <w:rPr>
          <w:rFonts w:ascii="Times New Roman" w:hAnsi="Times New Roman" w:cs="Times New Roman"/>
        </w:rPr>
      </w:pPr>
    </w:p>
    <w:p w14:paraId="48B6CA47" w14:textId="77777777" w:rsidR="00023AC2" w:rsidRPr="00023AC2" w:rsidRDefault="00023AC2" w:rsidP="00023AC2">
      <w:pPr>
        <w:spacing w:after="0" w:line="240" w:lineRule="auto"/>
        <w:jc w:val="both"/>
        <w:rPr>
          <w:rFonts w:ascii="Times New Roman" w:hAnsi="Times New Roman" w:cs="Times New Roman"/>
        </w:rPr>
      </w:pPr>
    </w:p>
    <w:p w14:paraId="277AE0C2" w14:textId="77777777" w:rsidR="00023AC2" w:rsidRPr="00023AC2" w:rsidRDefault="00023AC2" w:rsidP="00023AC2">
      <w:pPr>
        <w:spacing w:after="0" w:line="240" w:lineRule="auto"/>
        <w:jc w:val="both"/>
        <w:rPr>
          <w:rFonts w:ascii="Times New Roman" w:hAnsi="Times New Roman" w:cs="Times New Roman"/>
        </w:rPr>
      </w:pPr>
    </w:p>
    <w:tbl>
      <w:tblPr>
        <w:tblStyle w:val="a3"/>
        <w:tblW w:w="10201" w:type="dxa"/>
        <w:jc w:val="center"/>
        <w:tblLook w:val="04A0" w:firstRow="1" w:lastRow="0" w:firstColumn="1" w:lastColumn="0" w:noHBand="0" w:noVBand="1"/>
      </w:tblPr>
      <w:tblGrid>
        <w:gridCol w:w="561"/>
        <w:gridCol w:w="2901"/>
        <w:gridCol w:w="6739"/>
      </w:tblGrid>
      <w:tr w:rsidR="00023AC2" w:rsidRPr="00023AC2" w14:paraId="3648DCCE" w14:textId="77777777" w:rsidTr="009827C8">
        <w:trPr>
          <w:jc w:val="center"/>
        </w:trPr>
        <w:tc>
          <w:tcPr>
            <w:tcW w:w="561" w:type="dxa"/>
          </w:tcPr>
          <w:p w14:paraId="300D3996" w14:textId="77777777" w:rsidR="00023AC2" w:rsidRPr="00023AC2" w:rsidRDefault="00023AC2" w:rsidP="00023AC2">
            <w:pPr>
              <w:jc w:val="both"/>
              <w:rPr>
                <w:rFonts w:ascii="Times New Roman" w:hAnsi="Times New Roman" w:cs="Times New Roman"/>
                <w:b/>
              </w:rPr>
            </w:pPr>
            <w:r w:rsidRPr="00023AC2">
              <w:rPr>
                <w:rFonts w:ascii="Times New Roman" w:hAnsi="Times New Roman" w:cs="Times New Roman"/>
                <w:b/>
              </w:rPr>
              <w:t xml:space="preserve">№ </w:t>
            </w:r>
            <w:r w:rsidRPr="00023AC2">
              <w:rPr>
                <w:rFonts w:ascii="Times New Roman" w:hAnsi="Times New Roman" w:cs="Times New Roman"/>
                <w:bCs/>
              </w:rPr>
              <w:t>п/п</w:t>
            </w:r>
          </w:p>
        </w:tc>
        <w:tc>
          <w:tcPr>
            <w:tcW w:w="9640" w:type="dxa"/>
            <w:gridSpan w:val="2"/>
            <w:vAlign w:val="center"/>
          </w:tcPr>
          <w:p w14:paraId="0666F16F" w14:textId="77777777" w:rsidR="00023AC2" w:rsidRPr="00023AC2" w:rsidRDefault="00023AC2" w:rsidP="00023AC2">
            <w:pPr>
              <w:jc w:val="both"/>
              <w:rPr>
                <w:rFonts w:ascii="Times New Roman" w:hAnsi="Times New Roman" w:cs="Times New Roman"/>
                <w:bCs/>
              </w:rPr>
            </w:pPr>
            <w:r w:rsidRPr="00023AC2">
              <w:rPr>
                <w:rFonts w:ascii="Times New Roman" w:hAnsi="Times New Roman" w:cs="Times New Roman"/>
                <w:bCs/>
              </w:rPr>
              <w:t>Основные критерии и характеристики проведения конкурсного отбора</w:t>
            </w:r>
          </w:p>
        </w:tc>
      </w:tr>
      <w:tr w:rsidR="00023AC2" w:rsidRPr="00023AC2" w14:paraId="3F3DE4BE" w14:textId="77777777" w:rsidTr="009827C8">
        <w:trPr>
          <w:jc w:val="center"/>
        </w:trPr>
        <w:tc>
          <w:tcPr>
            <w:tcW w:w="561" w:type="dxa"/>
          </w:tcPr>
          <w:p w14:paraId="244BAE7E"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 1</w:t>
            </w:r>
          </w:p>
        </w:tc>
        <w:tc>
          <w:tcPr>
            <w:tcW w:w="2901" w:type="dxa"/>
          </w:tcPr>
          <w:p w14:paraId="0671E19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Наименование, место нахождения, почтовый адрес, сайт, адрес электронной почты, телефон</w:t>
            </w:r>
          </w:p>
        </w:tc>
        <w:tc>
          <w:tcPr>
            <w:tcW w:w="6739" w:type="dxa"/>
          </w:tcPr>
          <w:p w14:paraId="59E7C16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юридический адрес: Комитет образования администрации   Тосненского муниципального района Ленинградской области (далее – Комитет образования), </w:t>
            </w:r>
          </w:p>
          <w:p w14:paraId="2AF2A58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187000, Ленинградская область, город Тосно, ул. Советская, дом 10А, </w:t>
            </w:r>
          </w:p>
          <w:p w14:paraId="39C5904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https://komitet.tsn.47edu.ru/</w:t>
            </w:r>
            <w:hyperlink r:id="rId7" w:history="1"/>
            <w:r w:rsidRPr="00023AC2">
              <w:rPr>
                <w:rFonts w:ascii="Times New Roman" w:hAnsi="Times New Roman" w:cs="Times New Roman"/>
              </w:rPr>
              <w:t xml:space="preserve"> </w:t>
            </w:r>
          </w:p>
          <w:p w14:paraId="6B3CB1E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место приема документов: 187000, Ленинградская область, город Тосно, ул. Советская, дом 10А.</w:t>
            </w:r>
          </w:p>
          <w:p w14:paraId="12820161"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Контактный телефон специалиста по приему документов: 8(81361)25812</w:t>
            </w:r>
          </w:p>
          <w:p w14:paraId="207B8F87" w14:textId="77777777" w:rsidR="00023AC2" w:rsidRPr="00023AC2" w:rsidRDefault="00023AC2" w:rsidP="00023AC2">
            <w:pPr>
              <w:jc w:val="both"/>
              <w:rPr>
                <w:rFonts w:ascii="Times New Roman" w:hAnsi="Times New Roman" w:cs="Times New Roman"/>
              </w:rPr>
            </w:pPr>
            <w:proofErr w:type="spellStart"/>
            <w:r w:rsidRPr="00023AC2">
              <w:rPr>
                <w:rFonts w:ascii="Times New Roman" w:hAnsi="Times New Roman" w:cs="Times New Roman"/>
              </w:rPr>
              <w:t>komtosn.rest</w:t>
            </w:r>
            <w:proofErr w:type="spellEnd"/>
            <w:r w:rsidRPr="00023AC2">
              <w:rPr>
                <w:rFonts w:ascii="Times New Roman" w:hAnsi="Times New Roman" w:cs="Times New Roman"/>
              </w:rPr>
              <w:t>@</w:t>
            </w:r>
            <w:proofErr w:type="spellStart"/>
            <w:r w:rsidRPr="00023AC2">
              <w:rPr>
                <w:rFonts w:ascii="Times New Roman" w:hAnsi="Times New Roman" w:cs="Times New Roman"/>
                <w:lang w:val="en-US"/>
              </w:rPr>
              <w:t>yandex</w:t>
            </w:r>
            <w:proofErr w:type="spellEnd"/>
            <w:r w:rsidRPr="00023AC2">
              <w:rPr>
                <w:rFonts w:ascii="Times New Roman" w:hAnsi="Times New Roman" w:cs="Times New Roman"/>
              </w:rPr>
              <w:t>.</w:t>
            </w:r>
            <w:proofErr w:type="spellStart"/>
            <w:r w:rsidRPr="00023AC2">
              <w:rPr>
                <w:rFonts w:ascii="Times New Roman" w:hAnsi="Times New Roman" w:cs="Times New Roman"/>
                <w:lang w:val="en-US"/>
              </w:rPr>
              <w:t>ru</w:t>
            </w:r>
            <w:proofErr w:type="spellEnd"/>
          </w:p>
        </w:tc>
      </w:tr>
      <w:tr w:rsidR="00023AC2" w:rsidRPr="00023AC2" w14:paraId="2FBA1C26" w14:textId="77777777" w:rsidTr="009827C8">
        <w:trPr>
          <w:jc w:val="center"/>
        </w:trPr>
        <w:tc>
          <w:tcPr>
            <w:tcW w:w="561" w:type="dxa"/>
          </w:tcPr>
          <w:p w14:paraId="447D176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2</w:t>
            </w:r>
          </w:p>
        </w:tc>
        <w:tc>
          <w:tcPr>
            <w:tcW w:w="2901" w:type="dxa"/>
          </w:tcPr>
          <w:p w14:paraId="0DF8989A"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Сроки проведения отбора</w:t>
            </w:r>
          </w:p>
        </w:tc>
        <w:tc>
          <w:tcPr>
            <w:tcW w:w="6739" w:type="dxa"/>
          </w:tcPr>
          <w:p w14:paraId="150303EB" w14:textId="0D5ADCA1"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С </w:t>
            </w:r>
            <w:r w:rsidRPr="001D6817">
              <w:rPr>
                <w:rFonts w:ascii="Times New Roman" w:hAnsi="Times New Roman" w:cs="Times New Roman"/>
              </w:rPr>
              <w:t>0</w:t>
            </w:r>
            <w:r w:rsidR="0055054F" w:rsidRPr="001D6817">
              <w:rPr>
                <w:rFonts w:ascii="Times New Roman" w:hAnsi="Times New Roman" w:cs="Times New Roman"/>
              </w:rPr>
              <w:t>1</w:t>
            </w:r>
            <w:r w:rsidRPr="001D6817">
              <w:rPr>
                <w:rFonts w:ascii="Times New Roman" w:hAnsi="Times New Roman" w:cs="Times New Roman"/>
              </w:rPr>
              <w:t>.0</w:t>
            </w:r>
            <w:r w:rsidR="001D6817" w:rsidRPr="001D6817">
              <w:rPr>
                <w:rFonts w:ascii="Times New Roman" w:hAnsi="Times New Roman" w:cs="Times New Roman"/>
              </w:rPr>
              <w:t>8</w:t>
            </w:r>
            <w:r w:rsidRPr="001D6817">
              <w:rPr>
                <w:rFonts w:ascii="Times New Roman" w:hAnsi="Times New Roman" w:cs="Times New Roman"/>
              </w:rPr>
              <w:t xml:space="preserve">.2024 по </w:t>
            </w:r>
            <w:r w:rsidR="001D6817" w:rsidRPr="001D6817">
              <w:rPr>
                <w:rFonts w:ascii="Times New Roman" w:hAnsi="Times New Roman" w:cs="Times New Roman"/>
              </w:rPr>
              <w:t>30</w:t>
            </w:r>
            <w:r w:rsidRPr="001D6817">
              <w:rPr>
                <w:rFonts w:ascii="Times New Roman" w:hAnsi="Times New Roman" w:cs="Times New Roman"/>
              </w:rPr>
              <w:t>.0</w:t>
            </w:r>
            <w:r w:rsidR="001D6817" w:rsidRPr="001D6817">
              <w:rPr>
                <w:rFonts w:ascii="Times New Roman" w:hAnsi="Times New Roman" w:cs="Times New Roman"/>
              </w:rPr>
              <w:t>8</w:t>
            </w:r>
            <w:r w:rsidRPr="001D6817">
              <w:rPr>
                <w:rFonts w:ascii="Times New Roman" w:hAnsi="Times New Roman" w:cs="Times New Roman"/>
              </w:rPr>
              <w:t>.2024,</w:t>
            </w:r>
            <w:r w:rsidRPr="00023AC2">
              <w:rPr>
                <w:rFonts w:ascii="Times New Roman" w:hAnsi="Times New Roman" w:cs="Times New Roman"/>
              </w:rPr>
              <w:t xml:space="preserve"> по рабочим дням с 09:00 до 17:00 (с понедельника по пятницу) за исключением перерыва на обед (с 13:00 до 14:00)</w:t>
            </w:r>
          </w:p>
        </w:tc>
      </w:tr>
      <w:tr w:rsidR="00023AC2" w:rsidRPr="00023AC2" w14:paraId="04156A74" w14:textId="77777777" w:rsidTr="009827C8">
        <w:trPr>
          <w:trHeight w:val="2541"/>
          <w:jc w:val="center"/>
        </w:trPr>
        <w:tc>
          <w:tcPr>
            <w:tcW w:w="561" w:type="dxa"/>
          </w:tcPr>
          <w:p w14:paraId="11D6A61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3</w:t>
            </w:r>
          </w:p>
        </w:tc>
        <w:tc>
          <w:tcPr>
            <w:tcW w:w="2901" w:type="dxa"/>
          </w:tcPr>
          <w:p w14:paraId="72AF64D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Доменное имя, и (или) сетевой адрес, и (или) указатели страниц сайта в сети «Интернет», на которых обеспечивается проведение конкурсного отбора</w:t>
            </w:r>
          </w:p>
        </w:tc>
        <w:tc>
          <w:tcPr>
            <w:tcW w:w="6739" w:type="dxa"/>
          </w:tcPr>
          <w:p w14:paraId="4DBDC40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https://komitet.tsn.47edu.ru/</w:t>
            </w:r>
          </w:p>
        </w:tc>
      </w:tr>
      <w:tr w:rsidR="00023AC2" w:rsidRPr="00023AC2" w14:paraId="0AFEB201" w14:textId="77777777" w:rsidTr="009827C8">
        <w:trPr>
          <w:jc w:val="center"/>
        </w:trPr>
        <w:tc>
          <w:tcPr>
            <w:tcW w:w="561" w:type="dxa"/>
          </w:tcPr>
          <w:p w14:paraId="44A1A2EE"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4</w:t>
            </w:r>
          </w:p>
        </w:tc>
        <w:tc>
          <w:tcPr>
            <w:tcW w:w="2901" w:type="dxa"/>
          </w:tcPr>
          <w:p w14:paraId="07F4668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Требования к участникам отбора в соответствии с пунктами 1.6, 2.6 и 2.7 Порядка и перечень документов, представляемых участниками отбора для подтверждения их соответствия указанным требованиям</w:t>
            </w:r>
          </w:p>
        </w:tc>
        <w:tc>
          <w:tcPr>
            <w:tcW w:w="6739" w:type="dxa"/>
          </w:tcPr>
          <w:p w14:paraId="460EB36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023AC2">
              <w:rPr>
                <w:rFonts w:ascii="Times New Roman" w:hAnsi="Times New Roman" w:cs="Times New Roman"/>
              </w:rP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05F04E"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пеней, штрафов, процентов в бюджеты бюджетной системы Российской Федерации;</w:t>
            </w:r>
          </w:p>
          <w:p w14:paraId="27E0B169"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7202D12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11E8DF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C3A5EC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не получает средства из бюджета муниципального образования Тосненский муниципальный район Ленинградской области, областного бюджета Ленинградской области, на основании иных нормативных правовых актов на цели, установленные настоящим Порядком;</w:t>
            </w:r>
          </w:p>
          <w:p w14:paraId="2651FA57"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31FDA87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 участника отбора отсутствуют просроченная задолженность по возврату в бюджет муниципального образования Тосненский муниципальный район Ленинградской области, в областной бюджет Ленинградской области,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Тосненский муниципальный район Ленинградской области, перед Ленинградской областью;</w:t>
            </w:r>
          </w:p>
          <w:p w14:paraId="6B355E7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являющимся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79759E4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Участники отбора в срок, устанавливаемый в объявлении, представляют в комиссию заявку на участие в отборе (далее - заявка), в состав которой входят следующие документы (информация):</w:t>
            </w:r>
          </w:p>
          <w:p w14:paraId="3046A3C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заявление об участии в отборе на право получения субсидии для возмещения части затрат, связанных с содержанием имущества и </w:t>
            </w:r>
            <w:r w:rsidRPr="00023AC2">
              <w:rPr>
                <w:rFonts w:ascii="Times New Roman" w:hAnsi="Times New Roman" w:cs="Times New Roman"/>
              </w:rPr>
              <w:lastRenderedPageBreak/>
              <w:t>оказанием услуг по присмотру и уходу за детьми дошкольного возраста, по форме согласно приложению 1 к настоящему Порядку;</w:t>
            </w:r>
          </w:p>
          <w:p w14:paraId="2104C40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копию документа, подтверждающего наличие лицензии на осуществление образовательной деятельности по реализации основной общеобразовательной программы дошкольного образования (выписка из реестра лицензий либо копия акта лицензирующего органа о принятом решении и др.);</w:t>
            </w:r>
          </w:p>
          <w:p w14:paraId="4EE05099"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пояснительную записку с указанием затрат, изложенных в пункте 1.4 настоящего Порядка, по каждому виду заявляемых затрат, содержащая обоснование периодичности затрат, на возмещение которых предоставляется субсидия, в соответствии с требованиями законодательства Российской Федерации, регламентирующими деятельность образовательных организаций;</w:t>
            </w:r>
          </w:p>
          <w:p w14:paraId="0E80EF8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смету затрат, связанных с содержанием имущества и оказанием услуг по присмотру и уходу за детьми на текущий финансовый год (далее - смета затрат), по форме согласно приложению 4 к настоящему Порядку. </w:t>
            </w:r>
          </w:p>
          <w:p w14:paraId="0372B244"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Документы заверяются подписью руководителя юридического лица, индивидуальным предпринимателям и печатью (при наличии печати) и представляются участником отбора на бумажном носителе.</w:t>
            </w:r>
          </w:p>
          <w:p w14:paraId="622D9D7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Участники отбора вправе представить копии документов в форме электронных документов, подписанных электронной подписью, в соответствии с действующим законодательством посредством системы электронного документооборота.</w:t>
            </w:r>
          </w:p>
        </w:tc>
      </w:tr>
      <w:tr w:rsidR="00023AC2" w:rsidRPr="00023AC2" w14:paraId="698332F4" w14:textId="77777777" w:rsidTr="009827C8">
        <w:trPr>
          <w:trHeight w:val="70"/>
          <w:jc w:val="center"/>
        </w:trPr>
        <w:tc>
          <w:tcPr>
            <w:tcW w:w="561" w:type="dxa"/>
          </w:tcPr>
          <w:p w14:paraId="67FF86A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lastRenderedPageBreak/>
              <w:t>5</w:t>
            </w:r>
          </w:p>
        </w:tc>
        <w:tc>
          <w:tcPr>
            <w:tcW w:w="2901" w:type="dxa"/>
          </w:tcPr>
          <w:p w14:paraId="50DEDBD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Порядок подачи заявок участниками отбора и требований, предъявляемых к форме и содержанию заявок, подаваемых участниками отбора, в соответствии с пунктом 2.8 Порядка</w:t>
            </w:r>
          </w:p>
        </w:tc>
        <w:tc>
          <w:tcPr>
            <w:tcW w:w="6739" w:type="dxa"/>
          </w:tcPr>
          <w:p w14:paraId="10A5838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Организации представляют в Комитет образования заявку и документы для участия в конкурсном отборе на бумажном носителе с приложением описи представляемых документов. Представление заявки и документов для участия </w:t>
            </w:r>
          </w:p>
          <w:p w14:paraId="38B3AE81"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конкурсном отборе почтовым отправлением не допускается.</w:t>
            </w:r>
          </w:p>
          <w:p w14:paraId="603A6A3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Заявка и документы для участия в конкурсном отборе должны быть прошиты, пронумерованы и подписаны (заверены) руководителем организации или уполномоченным лицом.</w:t>
            </w:r>
          </w:p>
          <w:p w14:paraId="3C0AD57E"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Одна организация может подать только одну заявку.</w:t>
            </w:r>
          </w:p>
          <w:p w14:paraId="06AD1E1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Внесение участниками конкурсного отбора изменений </w:t>
            </w:r>
          </w:p>
          <w:p w14:paraId="3A69021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представленные в Комитет образования заявку и документы для участия в конкурсном отборе, а также представление в Комитет образования дополнительных документов после представления заявки не допускаются.</w:t>
            </w:r>
          </w:p>
        </w:tc>
      </w:tr>
      <w:tr w:rsidR="00023AC2" w:rsidRPr="00023AC2" w14:paraId="117A241F" w14:textId="77777777" w:rsidTr="009827C8">
        <w:trPr>
          <w:jc w:val="center"/>
        </w:trPr>
        <w:tc>
          <w:tcPr>
            <w:tcW w:w="561" w:type="dxa"/>
          </w:tcPr>
          <w:p w14:paraId="6946B6B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6</w:t>
            </w:r>
          </w:p>
        </w:tc>
        <w:tc>
          <w:tcPr>
            <w:tcW w:w="2901" w:type="dxa"/>
          </w:tcPr>
          <w:p w14:paraId="58DCA941"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Порядок отзыва заявок, порядок возврата заявок, определяющий в том числе основания для возврата заявок участников отбора, порядок внесения изменений в заявки</w:t>
            </w:r>
          </w:p>
        </w:tc>
        <w:tc>
          <w:tcPr>
            <w:tcW w:w="6739" w:type="dxa"/>
          </w:tcPr>
          <w:p w14:paraId="2455F87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вправе отозвать заявку путем направления в Комитет образования заявления об отзыве заявки в течение срока подачи заявок. Возврат заявок осуществляется в течение 5 (пяти) рабочих дней со дня поступления заявления об отзыве в Комитет образования.</w:t>
            </w:r>
          </w:p>
          <w:p w14:paraId="112A66A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Внесение изменений в заявку осуществляется путем отзыва и подачи новой заявки в течение срока подачи заявок.</w:t>
            </w:r>
          </w:p>
          <w:p w14:paraId="22B17BC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Основаниями для отклонения заявок являются:</w:t>
            </w:r>
          </w:p>
          <w:p w14:paraId="0DE52F1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участника отбора требованиям, установленным пунктами 2.6 и 2.7 Порядка;</w:t>
            </w:r>
          </w:p>
          <w:p w14:paraId="2C4D7ED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непредставление (представление не в полном объеме) документов, указанных в объявлении о проведении отбора;</w:t>
            </w:r>
          </w:p>
          <w:p w14:paraId="3408025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представленных участником отбора заявок и документов требованиям к заявкам, указанным в объявлении о проведении отбора;</w:t>
            </w:r>
          </w:p>
          <w:p w14:paraId="324F2763"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недостоверность представленной участником отбора информации, в том числе информации о месте нахождения и адресе;</w:t>
            </w:r>
          </w:p>
          <w:p w14:paraId="21A6E20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подача участником отбора заявки после даты и(или) времени, указанных в объявлении;</w:t>
            </w:r>
          </w:p>
          <w:p w14:paraId="1A38D61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участника отбора категориям и критериям, указанным в пункте 1.6 Порядка.</w:t>
            </w:r>
          </w:p>
        </w:tc>
      </w:tr>
      <w:tr w:rsidR="00023AC2" w:rsidRPr="00023AC2" w14:paraId="0C36FB67" w14:textId="77777777" w:rsidTr="009827C8">
        <w:trPr>
          <w:jc w:val="center"/>
        </w:trPr>
        <w:tc>
          <w:tcPr>
            <w:tcW w:w="561" w:type="dxa"/>
          </w:tcPr>
          <w:p w14:paraId="15C8851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lastRenderedPageBreak/>
              <w:t>7</w:t>
            </w:r>
          </w:p>
        </w:tc>
        <w:tc>
          <w:tcPr>
            <w:tcW w:w="2901" w:type="dxa"/>
          </w:tcPr>
          <w:p w14:paraId="48A6964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Правила рассмотрения заявок участников отбора</w:t>
            </w:r>
          </w:p>
          <w:p w14:paraId="39E0E4BC" w14:textId="77777777" w:rsidR="00023AC2" w:rsidRPr="00023AC2" w:rsidRDefault="00023AC2" w:rsidP="00023AC2">
            <w:pPr>
              <w:jc w:val="both"/>
              <w:rPr>
                <w:rFonts w:ascii="Times New Roman" w:hAnsi="Times New Roman" w:cs="Times New Roman"/>
              </w:rPr>
            </w:pPr>
          </w:p>
        </w:tc>
        <w:tc>
          <w:tcPr>
            <w:tcW w:w="6739" w:type="dxa"/>
          </w:tcPr>
          <w:p w14:paraId="03B3D53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Прием заявок осуществляет секретарь комиссии. Заявки регистрируются в журнале регистрации в день подачи (поступления) с указанием участника отбора и даты подачи заявки.</w:t>
            </w:r>
          </w:p>
          <w:p w14:paraId="25068AE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день регистрации заявки секретарь комиссии:</w:t>
            </w:r>
          </w:p>
          <w:p w14:paraId="070C5C93"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проверяет отсутствие участника отбора в реестре недобросовестных поставщиков на официальном сайте единой информационной системы в сфере закупок в информационно-телекоммуникационной сети «Интернет» (</w:t>
            </w:r>
            <w:hyperlink r:id="rId8" w:history="1">
              <w:r w:rsidRPr="00023AC2">
                <w:rPr>
                  <w:rStyle w:val="a9"/>
                  <w:rFonts w:ascii="Times New Roman" w:hAnsi="Times New Roman" w:cs="Times New Roman"/>
                </w:rPr>
                <w:t>www.zakupki.gov.ru</w:t>
              </w:r>
            </w:hyperlink>
            <w:r w:rsidRPr="00023AC2">
              <w:rPr>
                <w:rFonts w:ascii="Times New Roman" w:hAnsi="Times New Roman" w:cs="Times New Roman"/>
              </w:rPr>
              <w:t>).</w:t>
            </w:r>
          </w:p>
          <w:p w14:paraId="004828E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рамках межведомственного информационного взаимодействия Комитета образования в целях предоставления субсидий запрашивает:</w:t>
            </w:r>
          </w:p>
          <w:p w14:paraId="6B55F3EA"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5B7B5B9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справки налогового органа и государственных внебюджетных фондов Российской Федерации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участником на участие в отборе.</w:t>
            </w:r>
          </w:p>
          <w:p w14:paraId="267549D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случае наличия указанной задолженности секретарь комиссии в течение 1 рабочего дня с даты получения ответа на межведомственный запрос уведомляет участника отбора о наличии задолженности. Участник отбора вправе устранить задолженность путем представления до даты заседания или непосредственно на дату заседания комиссии копии документов, подтверждающих оплату указанной задолженности или отсутствие задолженности, заверенные подписью руководителя (иного уполномоченного лица) и печатью участника отбора (при наличии). Указанные документы и сведения прилагаются к заявке участника отбора.</w:t>
            </w:r>
          </w:p>
          <w:p w14:paraId="7C9F318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вправе по собственной инициативе представить указанные в настоящем пункте документы. При этом выписка из Единого государственного реестра юридических лиц и выписка из Единого государственного реестра индивидуальных предпринимателей должна быть выдана не ранее чем за один месяц до дня подачи заявки.</w:t>
            </w:r>
          </w:p>
          <w:p w14:paraId="023BA8CA"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Комитет образования в течение 5 (пяти) рабочих дней со дня регистрации заявки проводит проверку достоверности сведений, содержащихся в заявке и представляемых участником отбора документах, путем сопоставления с документами, полученными в порядке межведомственного информационного взаимодействия. 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45C70F6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Комиссия рассматривает заявки в срок не более 5 (пяти) рабочих дней со дня окончания приема заявок и принимает решение о заключении Соглашения с исполнителем услуг либо решение об отказе в заключение Соглашения с исполнителем услуг.</w:t>
            </w:r>
          </w:p>
          <w:p w14:paraId="00A67083" w14:textId="77777777" w:rsidR="00023AC2" w:rsidRPr="00023AC2" w:rsidRDefault="00023AC2" w:rsidP="00023AC2">
            <w:pPr>
              <w:jc w:val="both"/>
              <w:rPr>
                <w:rFonts w:ascii="Times New Roman" w:hAnsi="Times New Roman" w:cs="Times New Roman"/>
              </w:rPr>
            </w:pPr>
          </w:p>
        </w:tc>
      </w:tr>
      <w:tr w:rsidR="00023AC2" w:rsidRPr="00023AC2" w14:paraId="154C81E7" w14:textId="77777777" w:rsidTr="009827C8">
        <w:trPr>
          <w:jc w:val="center"/>
        </w:trPr>
        <w:tc>
          <w:tcPr>
            <w:tcW w:w="561" w:type="dxa"/>
          </w:tcPr>
          <w:p w14:paraId="34575F8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8</w:t>
            </w:r>
          </w:p>
        </w:tc>
        <w:tc>
          <w:tcPr>
            <w:tcW w:w="2901" w:type="dxa"/>
          </w:tcPr>
          <w:p w14:paraId="16F8C3D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Порядок, дата начала и окончание срока предоставления участникам отбора разъяснений положений объявления, дата начала и окончания срока предоставления таких разъяснений;</w:t>
            </w:r>
          </w:p>
        </w:tc>
        <w:tc>
          <w:tcPr>
            <w:tcW w:w="6739" w:type="dxa"/>
          </w:tcPr>
          <w:p w14:paraId="607D6EE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Разъяснение положений объявления может быть получено участником отбора путем направления в Комитет образования соответствующего обращения. Разъяснение положений осуществляется в течение двух дней со дня получения обращения. Обращение может быть направлено не позднее, чем за три дня до дня окончания срока приема заявок, указанного в объявлении.</w:t>
            </w:r>
          </w:p>
          <w:p w14:paraId="47154031"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Представленное Комитетом образования разъяснение положений объявления о проведении отбора не должно изменять суть информации, содержащейся в указанном объявлении.</w:t>
            </w:r>
          </w:p>
        </w:tc>
      </w:tr>
      <w:tr w:rsidR="00023AC2" w:rsidRPr="00023AC2" w14:paraId="4A4CA0BC" w14:textId="77777777" w:rsidTr="009827C8">
        <w:trPr>
          <w:jc w:val="center"/>
        </w:trPr>
        <w:tc>
          <w:tcPr>
            <w:tcW w:w="561" w:type="dxa"/>
          </w:tcPr>
          <w:p w14:paraId="3320363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9</w:t>
            </w:r>
          </w:p>
        </w:tc>
        <w:tc>
          <w:tcPr>
            <w:tcW w:w="2901" w:type="dxa"/>
          </w:tcPr>
          <w:p w14:paraId="75CB9CE9"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Сроки, в течение которых победитель (победители) </w:t>
            </w:r>
            <w:r w:rsidRPr="00023AC2">
              <w:rPr>
                <w:rFonts w:ascii="Times New Roman" w:hAnsi="Times New Roman" w:cs="Times New Roman"/>
              </w:rPr>
              <w:lastRenderedPageBreak/>
              <w:t>конкурсного отбора должен (должны) подписать   соглашение о предоставлении субсидий</w:t>
            </w:r>
          </w:p>
        </w:tc>
        <w:tc>
          <w:tcPr>
            <w:tcW w:w="6739" w:type="dxa"/>
          </w:tcPr>
          <w:p w14:paraId="1F4F8FCE"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lastRenderedPageBreak/>
              <w:t xml:space="preserve">В течение 10 рабочих дней с даты издания приказа, указанного в пункте 2.19 Порядка, с каждым из победителей отбора Комитет </w:t>
            </w:r>
            <w:r w:rsidRPr="00023AC2">
              <w:rPr>
                <w:rFonts w:ascii="Times New Roman" w:hAnsi="Times New Roman" w:cs="Times New Roman"/>
              </w:rPr>
              <w:lastRenderedPageBreak/>
              <w:t>образования заключает соглашение о предоставлении субсидии, типовая форма которого утверждена соответствующим приказом комитета финансов администрации муниципального образования Тосненский район Ленинградской области</w:t>
            </w:r>
          </w:p>
        </w:tc>
      </w:tr>
      <w:tr w:rsidR="00023AC2" w:rsidRPr="00023AC2" w14:paraId="34F431B7" w14:textId="77777777" w:rsidTr="009827C8">
        <w:trPr>
          <w:jc w:val="center"/>
        </w:trPr>
        <w:tc>
          <w:tcPr>
            <w:tcW w:w="561" w:type="dxa"/>
          </w:tcPr>
          <w:p w14:paraId="78BF306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lastRenderedPageBreak/>
              <w:t>10</w:t>
            </w:r>
          </w:p>
        </w:tc>
        <w:tc>
          <w:tcPr>
            <w:tcW w:w="2901" w:type="dxa"/>
          </w:tcPr>
          <w:p w14:paraId="59B0ACA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Условия признания победителя (победителей) конкурсного отбора уклонившимся (уклонившимися) от заключения соглашения</w:t>
            </w:r>
          </w:p>
        </w:tc>
        <w:tc>
          <w:tcPr>
            <w:tcW w:w="6739" w:type="dxa"/>
          </w:tcPr>
          <w:p w14:paraId="69DD0073"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Секретарь комиссии в течение 3 (трех) рабочих дней после принятия приказа, указанного в пункте 2.19 настоящего Порядка, оформляет Соглашение о предоставлении субсидии в четырех экземплярах и передает победителям отбора для подписания.</w:t>
            </w:r>
          </w:p>
          <w:p w14:paraId="5E671DEF"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случае неподписания Соглашения победителем отбора в срок, указанный в абзаце первом настоящего пункта, победитель отбора считается уклонившимся от заключения соглашения.</w:t>
            </w:r>
          </w:p>
        </w:tc>
      </w:tr>
      <w:tr w:rsidR="00023AC2" w:rsidRPr="00023AC2" w14:paraId="2A6602E5" w14:textId="77777777" w:rsidTr="009827C8">
        <w:trPr>
          <w:jc w:val="center"/>
        </w:trPr>
        <w:tc>
          <w:tcPr>
            <w:tcW w:w="561" w:type="dxa"/>
          </w:tcPr>
          <w:p w14:paraId="172415CC"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11</w:t>
            </w:r>
          </w:p>
        </w:tc>
        <w:tc>
          <w:tcPr>
            <w:tcW w:w="2901" w:type="dxa"/>
          </w:tcPr>
          <w:p w14:paraId="5E64DE31"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 xml:space="preserve">Даты размещения результатов отбора </w:t>
            </w:r>
          </w:p>
        </w:tc>
        <w:tc>
          <w:tcPr>
            <w:tcW w:w="6739" w:type="dxa"/>
          </w:tcPr>
          <w:p w14:paraId="5EACE8A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Комитет образования размещает результаты отбора на официальном сайте в информационно-телекоммуникационной сети «Интернет» (</w:t>
            </w:r>
            <w:hyperlink r:id="rId9" w:history="1">
              <w:r w:rsidRPr="00023AC2">
                <w:rPr>
                  <w:rStyle w:val="a9"/>
                  <w:rFonts w:ascii="Times New Roman" w:hAnsi="Times New Roman" w:cs="Times New Roman"/>
                </w:rPr>
                <w:t>http://komitet.tsn.47edu.ru</w:t>
              </w:r>
            </w:hyperlink>
            <w:r w:rsidRPr="00023AC2">
              <w:rPr>
                <w:rFonts w:ascii="Times New Roman" w:hAnsi="Times New Roman" w:cs="Times New Roman"/>
              </w:rPr>
              <w:t>) не позднее 14-го календарного дня, следующего за днем определения победителей отбора</w:t>
            </w:r>
          </w:p>
        </w:tc>
      </w:tr>
      <w:tr w:rsidR="00023AC2" w:rsidRPr="00023AC2" w14:paraId="1DE307FC" w14:textId="77777777" w:rsidTr="009827C8">
        <w:trPr>
          <w:jc w:val="center"/>
        </w:trPr>
        <w:tc>
          <w:tcPr>
            <w:tcW w:w="561" w:type="dxa"/>
          </w:tcPr>
          <w:p w14:paraId="2689D5D2"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12</w:t>
            </w:r>
          </w:p>
        </w:tc>
        <w:tc>
          <w:tcPr>
            <w:tcW w:w="2901" w:type="dxa"/>
          </w:tcPr>
          <w:p w14:paraId="10DCAFD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Порядок отклонения заявок, информация об основаниях их отклонения</w:t>
            </w:r>
          </w:p>
        </w:tc>
        <w:tc>
          <w:tcPr>
            <w:tcW w:w="6739" w:type="dxa"/>
          </w:tcPr>
          <w:p w14:paraId="7D525059"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Основаниями для отклонения заявок участников отбора на стадии рассмотрения заявок являются:</w:t>
            </w:r>
          </w:p>
          <w:p w14:paraId="59E15B98"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участника отбора требованиям, установленным пунктами 2.6 и 2.7 настоящего Порядка;</w:t>
            </w:r>
          </w:p>
          <w:p w14:paraId="3583BA6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непредставление (представление не в полном объеме) документов, указанных в объявлении о проведении отбора;</w:t>
            </w:r>
          </w:p>
          <w:p w14:paraId="1992AF47"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представленных участником отбора заявок и документов требованиям к заявкам, указанным в объявлении о проведении отбора;</w:t>
            </w:r>
          </w:p>
          <w:p w14:paraId="2B5AF09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недостоверность представленной участником отбора информации, в том числе информации о месте нахождения и адресе;</w:t>
            </w:r>
          </w:p>
          <w:p w14:paraId="5ACB9FE0"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подача участником отбора заявки после даты и(или) времени, указанных в объявлении;</w:t>
            </w:r>
          </w:p>
          <w:p w14:paraId="50C12CD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несоответствие участника отбора категориям и критериям, указанным в пункте 1.6 настоящего Порядка.</w:t>
            </w:r>
          </w:p>
        </w:tc>
      </w:tr>
      <w:tr w:rsidR="00023AC2" w:rsidRPr="00023AC2" w14:paraId="2F0B2CFA" w14:textId="77777777" w:rsidTr="009827C8">
        <w:trPr>
          <w:jc w:val="center"/>
        </w:trPr>
        <w:tc>
          <w:tcPr>
            <w:tcW w:w="561" w:type="dxa"/>
          </w:tcPr>
          <w:p w14:paraId="29B5FF07"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13</w:t>
            </w:r>
          </w:p>
        </w:tc>
        <w:tc>
          <w:tcPr>
            <w:tcW w:w="2901" w:type="dxa"/>
          </w:tcPr>
          <w:p w14:paraId="4605770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Объем распределяемой субсидии в рамках отбора, порядок расчета размера субсидии, установленного Порядком, правила распределения субсидии по результатам отбора, предельное количество победителей отбора.</w:t>
            </w:r>
          </w:p>
        </w:tc>
        <w:tc>
          <w:tcPr>
            <w:tcW w:w="6739" w:type="dxa"/>
          </w:tcPr>
          <w:p w14:paraId="5AB405F5"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Решение о предоставлении субсидии принимается Комитетом образования в течение 5 (пяти) рабочих дней с даты поступления протокола заседания комиссии и оформляется приказом Комитета образования с указанием победителей отбора и размеров предоставляемых им средств и в течение 10 (десяти) рабочих дней с даты заседания комиссии размещается на сайте Комитета образования в информационно-телекоммуникационной сети «Интернет».</w:t>
            </w:r>
          </w:p>
          <w:p w14:paraId="47556D9B"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Размер субсидий определяется в пределах бюджетных ассигнований, предусмотренных в бюджете муниципального образования Тосненский район Ленинградской области на очередной финансовый год и плановый период и в пределах доведенных лимитов бюджетных обязательств.</w:t>
            </w:r>
          </w:p>
          <w:p w14:paraId="335AB8D6"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Конкурсная комиссия определяет размеры субсидий на основании сметы расходов, связанных с содержанием имущества и оказанием услуг по присмотру и уходу за детьми, количества участников отбора, размера запрашиваемых субсидий и объема предусмотренных бюджетных средств.</w:t>
            </w:r>
          </w:p>
          <w:p w14:paraId="3A71C84D"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В случае если объем запрашиваемых субсидий превышает объем бюджетных средств, предусмотренных на предоставление субсидий, субсидии распределяются между победителями отбора пропорционально объему запрашиваемых средств.</w:t>
            </w:r>
          </w:p>
          <w:p w14:paraId="3A1E14A7" w14:textId="77777777" w:rsidR="00023AC2" w:rsidRPr="00023AC2" w:rsidRDefault="00023AC2" w:rsidP="00023AC2">
            <w:pPr>
              <w:jc w:val="both"/>
              <w:rPr>
                <w:rFonts w:ascii="Times New Roman" w:hAnsi="Times New Roman" w:cs="Times New Roman"/>
              </w:rPr>
            </w:pPr>
            <w:r w:rsidRPr="00023AC2">
              <w:rPr>
                <w:rFonts w:ascii="Times New Roman" w:hAnsi="Times New Roman" w:cs="Times New Roman"/>
              </w:rPr>
              <w:t>Участник отбора уведомляется Комитетом образования об отказе в предоставлении субсидии в течение 2 (двух) рабочих дней с даты принятия приказа Комитета образования</w:t>
            </w:r>
          </w:p>
        </w:tc>
      </w:tr>
    </w:tbl>
    <w:p w14:paraId="5AC93249" w14:textId="77777777" w:rsidR="00023AC2" w:rsidRPr="00023AC2" w:rsidRDefault="00023AC2" w:rsidP="00023AC2">
      <w:pPr>
        <w:spacing w:after="0" w:line="240" w:lineRule="auto"/>
        <w:jc w:val="both"/>
        <w:rPr>
          <w:rFonts w:ascii="Times New Roman" w:hAnsi="Times New Roman" w:cs="Times New Roman"/>
        </w:rPr>
      </w:pPr>
    </w:p>
    <w:p w14:paraId="333408E4" w14:textId="77777777" w:rsidR="00023AC2" w:rsidRDefault="00023AC2" w:rsidP="00023AC2">
      <w:pPr>
        <w:spacing w:after="0" w:line="240" w:lineRule="auto"/>
        <w:jc w:val="both"/>
        <w:rPr>
          <w:rFonts w:ascii="Times New Roman" w:hAnsi="Times New Roman" w:cs="Times New Roman"/>
        </w:rPr>
      </w:pPr>
    </w:p>
    <w:p w14:paraId="7F61860C" w14:textId="77777777" w:rsidR="008B3CF4" w:rsidRDefault="008B3CF4" w:rsidP="002427A8">
      <w:pPr>
        <w:spacing w:after="0" w:line="240" w:lineRule="auto"/>
        <w:rPr>
          <w:rFonts w:ascii="Times New Roman" w:hAnsi="Times New Roman" w:cs="Times New Roman"/>
        </w:rPr>
      </w:pPr>
    </w:p>
    <w:sectPr w:rsidR="008B3CF4" w:rsidSect="004D427A">
      <w:pgSz w:w="11906" w:h="16838"/>
      <w:pgMar w:top="720" w:right="707"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4CDB" w14:textId="77777777" w:rsidR="00E35C95" w:rsidRDefault="00E35C95" w:rsidP="00D244F8">
      <w:pPr>
        <w:spacing w:after="0" w:line="240" w:lineRule="auto"/>
      </w:pPr>
      <w:r>
        <w:separator/>
      </w:r>
    </w:p>
  </w:endnote>
  <w:endnote w:type="continuationSeparator" w:id="0">
    <w:p w14:paraId="520EEBFD" w14:textId="77777777" w:rsidR="00E35C95" w:rsidRDefault="00E35C95" w:rsidP="00D24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A6E9" w14:textId="77777777" w:rsidR="00E35C95" w:rsidRDefault="00E35C95" w:rsidP="00D244F8">
      <w:pPr>
        <w:spacing w:after="0" w:line="240" w:lineRule="auto"/>
      </w:pPr>
      <w:r>
        <w:separator/>
      </w:r>
    </w:p>
  </w:footnote>
  <w:footnote w:type="continuationSeparator" w:id="0">
    <w:p w14:paraId="7E02DD44" w14:textId="77777777" w:rsidR="00E35C95" w:rsidRDefault="00E35C95" w:rsidP="00D24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658"/>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FC7F82"/>
    <w:multiLevelType w:val="hybridMultilevel"/>
    <w:tmpl w:val="E20A5C3E"/>
    <w:lvl w:ilvl="0" w:tplc="3D8C74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1C9751A"/>
    <w:multiLevelType w:val="hybridMultilevel"/>
    <w:tmpl w:val="3438D554"/>
    <w:lvl w:ilvl="0" w:tplc="83C0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6D78C5"/>
    <w:multiLevelType w:val="hybridMultilevel"/>
    <w:tmpl w:val="D638C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7A7D09"/>
    <w:multiLevelType w:val="hybridMultilevel"/>
    <w:tmpl w:val="DD1AE688"/>
    <w:lvl w:ilvl="0" w:tplc="543C178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9533396"/>
    <w:multiLevelType w:val="multilevel"/>
    <w:tmpl w:val="0419001F"/>
    <w:lvl w:ilvl="0">
      <w:start w:val="1"/>
      <w:numFmt w:val="decimal"/>
      <w:lvlText w:val="%1."/>
      <w:lvlJc w:val="left"/>
      <w:pPr>
        <w:ind w:left="360" w:hanging="360"/>
      </w:p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46766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997EBC"/>
    <w:multiLevelType w:val="hybridMultilevel"/>
    <w:tmpl w:val="1B34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B57F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99D066B"/>
    <w:multiLevelType w:val="hybridMultilevel"/>
    <w:tmpl w:val="CB90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3D7999"/>
    <w:multiLevelType w:val="hybridMultilevel"/>
    <w:tmpl w:val="CD8AC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8"/>
  </w:num>
  <w:num w:numId="5">
    <w:abstractNumId w:val="9"/>
  </w:num>
  <w:num w:numId="6">
    <w:abstractNumId w:val="3"/>
  </w:num>
  <w:num w:numId="7">
    <w:abstractNumId w:val="7"/>
  </w:num>
  <w:num w:numId="8">
    <w:abstractNumId w:val="5"/>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B5"/>
    <w:rsid w:val="00001C49"/>
    <w:rsid w:val="000075AE"/>
    <w:rsid w:val="00007E2F"/>
    <w:rsid w:val="00015AF4"/>
    <w:rsid w:val="000172A8"/>
    <w:rsid w:val="00021A0B"/>
    <w:rsid w:val="00023AC2"/>
    <w:rsid w:val="000243C6"/>
    <w:rsid w:val="0002605E"/>
    <w:rsid w:val="0002619B"/>
    <w:rsid w:val="000263D2"/>
    <w:rsid w:val="00032B77"/>
    <w:rsid w:val="00034408"/>
    <w:rsid w:val="00040652"/>
    <w:rsid w:val="0004611E"/>
    <w:rsid w:val="00054855"/>
    <w:rsid w:val="00067AE9"/>
    <w:rsid w:val="0007010D"/>
    <w:rsid w:val="000742EA"/>
    <w:rsid w:val="000778A9"/>
    <w:rsid w:val="00080EC6"/>
    <w:rsid w:val="00080EEC"/>
    <w:rsid w:val="00086538"/>
    <w:rsid w:val="00090489"/>
    <w:rsid w:val="00092550"/>
    <w:rsid w:val="00092BC5"/>
    <w:rsid w:val="00093903"/>
    <w:rsid w:val="00093E38"/>
    <w:rsid w:val="000B7BE3"/>
    <w:rsid w:val="000C5AAF"/>
    <w:rsid w:val="000C60E7"/>
    <w:rsid w:val="000C6FB8"/>
    <w:rsid w:val="000C728E"/>
    <w:rsid w:val="000D26F0"/>
    <w:rsid w:val="000F051E"/>
    <w:rsid w:val="000F0A29"/>
    <w:rsid w:val="000F784C"/>
    <w:rsid w:val="000F7919"/>
    <w:rsid w:val="00102A8E"/>
    <w:rsid w:val="00103194"/>
    <w:rsid w:val="00103E1F"/>
    <w:rsid w:val="00107C4E"/>
    <w:rsid w:val="00123B15"/>
    <w:rsid w:val="0014051A"/>
    <w:rsid w:val="00141FCA"/>
    <w:rsid w:val="001462E7"/>
    <w:rsid w:val="001469E1"/>
    <w:rsid w:val="00152C64"/>
    <w:rsid w:val="00156685"/>
    <w:rsid w:val="001649D1"/>
    <w:rsid w:val="00166110"/>
    <w:rsid w:val="00173955"/>
    <w:rsid w:val="001743DD"/>
    <w:rsid w:val="00176479"/>
    <w:rsid w:val="0018207D"/>
    <w:rsid w:val="00185478"/>
    <w:rsid w:val="00185A2C"/>
    <w:rsid w:val="00190297"/>
    <w:rsid w:val="00192B22"/>
    <w:rsid w:val="0019505B"/>
    <w:rsid w:val="0019760B"/>
    <w:rsid w:val="001A0584"/>
    <w:rsid w:val="001A16D8"/>
    <w:rsid w:val="001A315B"/>
    <w:rsid w:val="001A31B3"/>
    <w:rsid w:val="001A3704"/>
    <w:rsid w:val="001B0A8B"/>
    <w:rsid w:val="001B69A0"/>
    <w:rsid w:val="001C253C"/>
    <w:rsid w:val="001D3E39"/>
    <w:rsid w:val="001D5C8C"/>
    <w:rsid w:val="001D6817"/>
    <w:rsid w:val="001D6A66"/>
    <w:rsid w:val="001E1165"/>
    <w:rsid w:val="001E1D64"/>
    <w:rsid w:val="001E2BAC"/>
    <w:rsid w:val="001E58A6"/>
    <w:rsid w:val="001F1162"/>
    <w:rsid w:val="001F3275"/>
    <w:rsid w:val="001F5C66"/>
    <w:rsid w:val="001F693F"/>
    <w:rsid w:val="001F7FD7"/>
    <w:rsid w:val="002056AC"/>
    <w:rsid w:val="002126EC"/>
    <w:rsid w:val="002136DC"/>
    <w:rsid w:val="00217619"/>
    <w:rsid w:val="00221BCA"/>
    <w:rsid w:val="00223811"/>
    <w:rsid w:val="002251D1"/>
    <w:rsid w:val="00226728"/>
    <w:rsid w:val="0023129A"/>
    <w:rsid w:val="00231E65"/>
    <w:rsid w:val="002320AC"/>
    <w:rsid w:val="002414EE"/>
    <w:rsid w:val="002427A8"/>
    <w:rsid w:val="00250673"/>
    <w:rsid w:val="00256B49"/>
    <w:rsid w:val="0027479E"/>
    <w:rsid w:val="00276D00"/>
    <w:rsid w:val="00280B77"/>
    <w:rsid w:val="00282AD5"/>
    <w:rsid w:val="0028308B"/>
    <w:rsid w:val="002A1A35"/>
    <w:rsid w:val="002B5F73"/>
    <w:rsid w:val="002C0DD1"/>
    <w:rsid w:val="002C1392"/>
    <w:rsid w:val="002C1F00"/>
    <w:rsid w:val="002C4753"/>
    <w:rsid w:val="002E08D3"/>
    <w:rsid w:val="002E1036"/>
    <w:rsid w:val="002E1956"/>
    <w:rsid w:val="002E360F"/>
    <w:rsid w:val="002E64D1"/>
    <w:rsid w:val="0030002F"/>
    <w:rsid w:val="003000E3"/>
    <w:rsid w:val="00302364"/>
    <w:rsid w:val="003040BD"/>
    <w:rsid w:val="0030479F"/>
    <w:rsid w:val="003110EC"/>
    <w:rsid w:val="003144E4"/>
    <w:rsid w:val="00315AE3"/>
    <w:rsid w:val="00322CF4"/>
    <w:rsid w:val="00323566"/>
    <w:rsid w:val="00325D44"/>
    <w:rsid w:val="00326DA8"/>
    <w:rsid w:val="00327ACF"/>
    <w:rsid w:val="00336211"/>
    <w:rsid w:val="00343125"/>
    <w:rsid w:val="00343506"/>
    <w:rsid w:val="003500DD"/>
    <w:rsid w:val="00350A8A"/>
    <w:rsid w:val="00351592"/>
    <w:rsid w:val="00353296"/>
    <w:rsid w:val="003540BC"/>
    <w:rsid w:val="003631FB"/>
    <w:rsid w:val="00376896"/>
    <w:rsid w:val="00383BFA"/>
    <w:rsid w:val="003B2D47"/>
    <w:rsid w:val="003C1B66"/>
    <w:rsid w:val="003D17DF"/>
    <w:rsid w:val="003D5F20"/>
    <w:rsid w:val="003D7247"/>
    <w:rsid w:val="003E035E"/>
    <w:rsid w:val="003F39C5"/>
    <w:rsid w:val="003F3BAC"/>
    <w:rsid w:val="00406BF9"/>
    <w:rsid w:val="004108C4"/>
    <w:rsid w:val="00412171"/>
    <w:rsid w:val="0041585C"/>
    <w:rsid w:val="00420B8E"/>
    <w:rsid w:val="004262A7"/>
    <w:rsid w:val="00426D14"/>
    <w:rsid w:val="00433818"/>
    <w:rsid w:val="0043533E"/>
    <w:rsid w:val="004359F9"/>
    <w:rsid w:val="00451CD2"/>
    <w:rsid w:val="00452428"/>
    <w:rsid w:val="00457E03"/>
    <w:rsid w:val="00460512"/>
    <w:rsid w:val="00477A73"/>
    <w:rsid w:val="00483539"/>
    <w:rsid w:val="00492E2D"/>
    <w:rsid w:val="0049638E"/>
    <w:rsid w:val="004A05B5"/>
    <w:rsid w:val="004B483D"/>
    <w:rsid w:val="004D0DBF"/>
    <w:rsid w:val="004D176F"/>
    <w:rsid w:val="004D3626"/>
    <w:rsid w:val="004D427A"/>
    <w:rsid w:val="004E1639"/>
    <w:rsid w:val="004E2AC8"/>
    <w:rsid w:val="004E4DBF"/>
    <w:rsid w:val="004E7914"/>
    <w:rsid w:val="004F57AD"/>
    <w:rsid w:val="00501D8D"/>
    <w:rsid w:val="00504FC9"/>
    <w:rsid w:val="0050635D"/>
    <w:rsid w:val="00506DE5"/>
    <w:rsid w:val="0051145C"/>
    <w:rsid w:val="00517189"/>
    <w:rsid w:val="00523027"/>
    <w:rsid w:val="00523923"/>
    <w:rsid w:val="00536630"/>
    <w:rsid w:val="00542904"/>
    <w:rsid w:val="00542BCC"/>
    <w:rsid w:val="00546074"/>
    <w:rsid w:val="0055054F"/>
    <w:rsid w:val="0055107B"/>
    <w:rsid w:val="00552623"/>
    <w:rsid w:val="00553D1D"/>
    <w:rsid w:val="00555B7E"/>
    <w:rsid w:val="00557552"/>
    <w:rsid w:val="00560173"/>
    <w:rsid w:val="005651A9"/>
    <w:rsid w:val="005737B3"/>
    <w:rsid w:val="00574F4C"/>
    <w:rsid w:val="005844E2"/>
    <w:rsid w:val="00596A2A"/>
    <w:rsid w:val="005A1863"/>
    <w:rsid w:val="005A199E"/>
    <w:rsid w:val="005A7D93"/>
    <w:rsid w:val="005B12B7"/>
    <w:rsid w:val="005B2664"/>
    <w:rsid w:val="005B3082"/>
    <w:rsid w:val="005B41E7"/>
    <w:rsid w:val="005B5C75"/>
    <w:rsid w:val="005B649B"/>
    <w:rsid w:val="005C1ACF"/>
    <w:rsid w:val="005C1D70"/>
    <w:rsid w:val="005C3DFD"/>
    <w:rsid w:val="005D177B"/>
    <w:rsid w:val="005D3A45"/>
    <w:rsid w:val="005D3DC5"/>
    <w:rsid w:val="005D5FBF"/>
    <w:rsid w:val="005D6CA8"/>
    <w:rsid w:val="005D7470"/>
    <w:rsid w:val="005D74EA"/>
    <w:rsid w:val="005E1785"/>
    <w:rsid w:val="005E1A21"/>
    <w:rsid w:val="005E4261"/>
    <w:rsid w:val="005E679A"/>
    <w:rsid w:val="005E7A52"/>
    <w:rsid w:val="005F30E9"/>
    <w:rsid w:val="005F6929"/>
    <w:rsid w:val="005F6DF5"/>
    <w:rsid w:val="006115B3"/>
    <w:rsid w:val="00611BD1"/>
    <w:rsid w:val="0062247B"/>
    <w:rsid w:val="00622A47"/>
    <w:rsid w:val="006264CE"/>
    <w:rsid w:val="00626896"/>
    <w:rsid w:val="006301E4"/>
    <w:rsid w:val="006322FC"/>
    <w:rsid w:val="00633E5E"/>
    <w:rsid w:val="00635C2B"/>
    <w:rsid w:val="00636620"/>
    <w:rsid w:val="00637948"/>
    <w:rsid w:val="00642969"/>
    <w:rsid w:val="00646650"/>
    <w:rsid w:val="00646F07"/>
    <w:rsid w:val="00647075"/>
    <w:rsid w:val="00653E0D"/>
    <w:rsid w:val="00661F66"/>
    <w:rsid w:val="00663577"/>
    <w:rsid w:val="00663784"/>
    <w:rsid w:val="00663E2C"/>
    <w:rsid w:val="00682C05"/>
    <w:rsid w:val="00683BA4"/>
    <w:rsid w:val="00694556"/>
    <w:rsid w:val="0069760A"/>
    <w:rsid w:val="00697DA8"/>
    <w:rsid w:val="006A5CB5"/>
    <w:rsid w:val="006B162C"/>
    <w:rsid w:val="006B2AA5"/>
    <w:rsid w:val="006B7E0E"/>
    <w:rsid w:val="006C17A4"/>
    <w:rsid w:val="006C2FF0"/>
    <w:rsid w:val="006C6BC0"/>
    <w:rsid w:val="006D0542"/>
    <w:rsid w:val="006D47A5"/>
    <w:rsid w:val="006D49D5"/>
    <w:rsid w:val="006D4A13"/>
    <w:rsid w:val="006D5E3C"/>
    <w:rsid w:val="006E2961"/>
    <w:rsid w:val="006E7D8B"/>
    <w:rsid w:val="006F0DA1"/>
    <w:rsid w:val="006F6C89"/>
    <w:rsid w:val="006F6F8B"/>
    <w:rsid w:val="007125FE"/>
    <w:rsid w:val="00712CE7"/>
    <w:rsid w:val="00717266"/>
    <w:rsid w:val="00730667"/>
    <w:rsid w:val="007311AF"/>
    <w:rsid w:val="00745803"/>
    <w:rsid w:val="00753298"/>
    <w:rsid w:val="007562BA"/>
    <w:rsid w:val="00757AAF"/>
    <w:rsid w:val="00760168"/>
    <w:rsid w:val="007659DD"/>
    <w:rsid w:val="00770735"/>
    <w:rsid w:val="00772BA1"/>
    <w:rsid w:val="007738F1"/>
    <w:rsid w:val="007819B7"/>
    <w:rsid w:val="00783D80"/>
    <w:rsid w:val="007919B1"/>
    <w:rsid w:val="007A2352"/>
    <w:rsid w:val="007A2674"/>
    <w:rsid w:val="007A313E"/>
    <w:rsid w:val="007A7D65"/>
    <w:rsid w:val="007B0601"/>
    <w:rsid w:val="007B34D8"/>
    <w:rsid w:val="007B526A"/>
    <w:rsid w:val="007B576D"/>
    <w:rsid w:val="007B5A0F"/>
    <w:rsid w:val="007B5BFC"/>
    <w:rsid w:val="007C5628"/>
    <w:rsid w:val="007D2F07"/>
    <w:rsid w:val="007E0950"/>
    <w:rsid w:val="007E28AD"/>
    <w:rsid w:val="007E35B0"/>
    <w:rsid w:val="007E4726"/>
    <w:rsid w:val="007E5B6E"/>
    <w:rsid w:val="007F1593"/>
    <w:rsid w:val="007F1B17"/>
    <w:rsid w:val="007F290E"/>
    <w:rsid w:val="007F5305"/>
    <w:rsid w:val="007F609E"/>
    <w:rsid w:val="007F704B"/>
    <w:rsid w:val="00800587"/>
    <w:rsid w:val="00801DF7"/>
    <w:rsid w:val="008105D2"/>
    <w:rsid w:val="00810AFB"/>
    <w:rsid w:val="008118A0"/>
    <w:rsid w:val="00814FE3"/>
    <w:rsid w:val="00825FA1"/>
    <w:rsid w:val="00832519"/>
    <w:rsid w:val="00836891"/>
    <w:rsid w:val="00836987"/>
    <w:rsid w:val="00841738"/>
    <w:rsid w:val="00844824"/>
    <w:rsid w:val="008511BB"/>
    <w:rsid w:val="008531B5"/>
    <w:rsid w:val="00855878"/>
    <w:rsid w:val="008715F2"/>
    <w:rsid w:val="008720F2"/>
    <w:rsid w:val="00882063"/>
    <w:rsid w:val="00882B58"/>
    <w:rsid w:val="00884A30"/>
    <w:rsid w:val="0088595D"/>
    <w:rsid w:val="0088680E"/>
    <w:rsid w:val="008873B0"/>
    <w:rsid w:val="00891EDA"/>
    <w:rsid w:val="008A37A5"/>
    <w:rsid w:val="008A65B4"/>
    <w:rsid w:val="008B3221"/>
    <w:rsid w:val="008B3CF4"/>
    <w:rsid w:val="008C04D2"/>
    <w:rsid w:val="008C089F"/>
    <w:rsid w:val="008C2B3C"/>
    <w:rsid w:val="008C41BD"/>
    <w:rsid w:val="008C4283"/>
    <w:rsid w:val="008C7B8D"/>
    <w:rsid w:val="008D27EA"/>
    <w:rsid w:val="008D3EAE"/>
    <w:rsid w:val="008E1C11"/>
    <w:rsid w:val="008E2F58"/>
    <w:rsid w:val="008E4731"/>
    <w:rsid w:val="008E4E21"/>
    <w:rsid w:val="008E512C"/>
    <w:rsid w:val="008F253F"/>
    <w:rsid w:val="008F2BC1"/>
    <w:rsid w:val="008F4969"/>
    <w:rsid w:val="00905437"/>
    <w:rsid w:val="009073C8"/>
    <w:rsid w:val="00910312"/>
    <w:rsid w:val="0091351C"/>
    <w:rsid w:val="009151E5"/>
    <w:rsid w:val="00921689"/>
    <w:rsid w:val="009236FE"/>
    <w:rsid w:val="009237C3"/>
    <w:rsid w:val="0093392C"/>
    <w:rsid w:val="00934107"/>
    <w:rsid w:val="00935E03"/>
    <w:rsid w:val="009401D9"/>
    <w:rsid w:val="00940DB3"/>
    <w:rsid w:val="0094271E"/>
    <w:rsid w:val="00945C0F"/>
    <w:rsid w:val="00946223"/>
    <w:rsid w:val="00952A8C"/>
    <w:rsid w:val="00955CC9"/>
    <w:rsid w:val="009561D0"/>
    <w:rsid w:val="00957156"/>
    <w:rsid w:val="009609C7"/>
    <w:rsid w:val="00963AE7"/>
    <w:rsid w:val="00967E13"/>
    <w:rsid w:val="0097022E"/>
    <w:rsid w:val="00975946"/>
    <w:rsid w:val="00975D97"/>
    <w:rsid w:val="0097653A"/>
    <w:rsid w:val="009827C8"/>
    <w:rsid w:val="0098553C"/>
    <w:rsid w:val="00985DB5"/>
    <w:rsid w:val="0098777F"/>
    <w:rsid w:val="00993BFA"/>
    <w:rsid w:val="009A303B"/>
    <w:rsid w:val="009A3B06"/>
    <w:rsid w:val="009A6853"/>
    <w:rsid w:val="009A7939"/>
    <w:rsid w:val="009B40D4"/>
    <w:rsid w:val="009B6113"/>
    <w:rsid w:val="009B6C00"/>
    <w:rsid w:val="009C674F"/>
    <w:rsid w:val="009C6EF2"/>
    <w:rsid w:val="009D0F4C"/>
    <w:rsid w:val="009D1EE0"/>
    <w:rsid w:val="009D2D30"/>
    <w:rsid w:val="009D3378"/>
    <w:rsid w:val="009D5C93"/>
    <w:rsid w:val="009D7C3C"/>
    <w:rsid w:val="009F0840"/>
    <w:rsid w:val="009F6845"/>
    <w:rsid w:val="009F7C9E"/>
    <w:rsid w:val="009F7CC1"/>
    <w:rsid w:val="00A031D4"/>
    <w:rsid w:val="00A07B92"/>
    <w:rsid w:val="00A1250F"/>
    <w:rsid w:val="00A143A8"/>
    <w:rsid w:val="00A15CF0"/>
    <w:rsid w:val="00A163A9"/>
    <w:rsid w:val="00A22029"/>
    <w:rsid w:val="00A26188"/>
    <w:rsid w:val="00A42E0E"/>
    <w:rsid w:val="00A44EB6"/>
    <w:rsid w:val="00A474EB"/>
    <w:rsid w:val="00A526CC"/>
    <w:rsid w:val="00A538B4"/>
    <w:rsid w:val="00A57DC9"/>
    <w:rsid w:val="00A616CF"/>
    <w:rsid w:val="00A6177E"/>
    <w:rsid w:val="00A6182D"/>
    <w:rsid w:val="00A61E74"/>
    <w:rsid w:val="00A727C9"/>
    <w:rsid w:val="00A7380A"/>
    <w:rsid w:val="00A73DF6"/>
    <w:rsid w:val="00A74973"/>
    <w:rsid w:val="00A76B05"/>
    <w:rsid w:val="00A82CD7"/>
    <w:rsid w:val="00A852B7"/>
    <w:rsid w:val="00A90613"/>
    <w:rsid w:val="00A9144D"/>
    <w:rsid w:val="00A9195F"/>
    <w:rsid w:val="00A92F14"/>
    <w:rsid w:val="00A943A4"/>
    <w:rsid w:val="00A94EE3"/>
    <w:rsid w:val="00AA0C7E"/>
    <w:rsid w:val="00AA4C7C"/>
    <w:rsid w:val="00AB4A2F"/>
    <w:rsid w:val="00AB6E15"/>
    <w:rsid w:val="00AC691F"/>
    <w:rsid w:val="00AD146E"/>
    <w:rsid w:val="00AD25AD"/>
    <w:rsid w:val="00AD2C18"/>
    <w:rsid w:val="00AD5A24"/>
    <w:rsid w:val="00AD6C4F"/>
    <w:rsid w:val="00AE3623"/>
    <w:rsid w:val="00AF2E89"/>
    <w:rsid w:val="00AF330C"/>
    <w:rsid w:val="00B01BE8"/>
    <w:rsid w:val="00B044F2"/>
    <w:rsid w:val="00B1278B"/>
    <w:rsid w:val="00B1553B"/>
    <w:rsid w:val="00B17580"/>
    <w:rsid w:val="00B23F08"/>
    <w:rsid w:val="00B26015"/>
    <w:rsid w:val="00B2775D"/>
    <w:rsid w:val="00B31053"/>
    <w:rsid w:val="00B404CA"/>
    <w:rsid w:val="00B415B5"/>
    <w:rsid w:val="00B4525D"/>
    <w:rsid w:val="00B45BEE"/>
    <w:rsid w:val="00B51177"/>
    <w:rsid w:val="00B5171C"/>
    <w:rsid w:val="00B529F6"/>
    <w:rsid w:val="00B54A83"/>
    <w:rsid w:val="00B5660B"/>
    <w:rsid w:val="00B5685A"/>
    <w:rsid w:val="00B571EC"/>
    <w:rsid w:val="00B575B6"/>
    <w:rsid w:val="00B67183"/>
    <w:rsid w:val="00B67CDF"/>
    <w:rsid w:val="00B70BD4"/>
    <w:rsid w:val="00B76EDF"/>
    <w:rsid w:val="00B77042"/>
    <w:rsid w:val="00B80A47"/>
    <w:rsid w:val="00B86221"/>
    <w:rsid w:val="00B9266F"/>
    <w:rsid w:val="00B97C09"/>
    <w:rsid w:val="00BA39A2"/>
    <w:rsid w:val="00BB2624"/>
    <w:rsid w:val="00BB68CF"/>
    <w:rsid w:val="00BC03E5"/>
    <w:rsid w:val="00BC57CB"/>
    <w:rsid w:val="00BD4672"/>
    <w:rsid w:val="00BF3302"/>
    <w:rsid w:val="00C02DE2"/>
    <w:rsid w:val="00C030B1"/>
    <w:rsid w:val="00C06315"/>
    <w:rsid w:val="00C07DC5"/>
    <w:rsid w:val="00C174CD"/>
    <w:rsid w:val="00C17754"/>
    <w:rsid w:val="00C2104D"/>
    <w:rsid w:val="00C245AF"/>
    <w:rsid w:val="00C3740A"/>
    <w:rsid w:val="00C37635"/>
    <w:rsid w:val="00C45FF1"/>
    <w:rsid w:val="00C47ACC"/>
    <w:rsid w:val="00C53524"/>
    <w:rsid w:val="00C62602"/>
    <w:rsid w:val="00C729D0"/>
    <w:rsid w:val="00C73045"/>
    <w:rsid w:val="00C75B2D"/>
    <w:rsid w:val="00C776A3"/>
    <w:rsid w:val="00C778B8"/>
    <w:rsid w:val="00C809C1"/>
    <w:rsid w:val="00C82AB7"/>
    <w:rsid w:val="00C8379B"/>
    <w:rsid w:val="00C8424F"/>
    <w:rsid w:val="00C87067"/>
    <w:rsid w:val="00C91411"/>
    <w:rsid w:val="00C92B3D"/>
    <w:rsid w:val="00C95770"/>
    <w:rsid w:val="00C974F0"/>
    <w:rsid w:val="00CA0A65"/>
    <w:rsid w:val="00CA22F9"/>
    <w:rsid w:val="00CA4492"/>
    <w:rsid w:val="00CA55B7"/>
    <w:rsid w:val="00CB0AD0"/>
    <w:rsid w:val="00CB1850"/>
    <w:rsid w:val="00CB6633"/>
    <w:rsid w:val="00CC19FB"/>
    <w:rsid w:val="00CC1C86"/>
    <w:rsid w:val="00CC3CFE"/>
    <w:rsid w:val="00CC449A"/>
    <w:rsid w:val="00CC4D32"/>
    <w:rsid w:val="00CC5FB3"/>
    <w:rsid w:val="00CC795A"/>
    <w:rsid w:val="00CD3432"/>
    <w:rsid w:val="00CE4578"/>
    <w:rsid w:val="00CE4B02"/>
    <w:rsid w:val="00CE5E8D"/>
    <w:rsid w:val="00CF437A"/>
    <w:rsid w:val="00D2110C"/>
    <w:rsid w:val="00D244F8"/>
    <w:rsid w:val="00D25BC1"/>
    <w:rsid w:val="00D2714A"/>
    <w:rsid w:val="00D30174"/>
    <w:rsid w:val="00D32062"/>
    <w:rsid w:val="00D32904"/>
    <w:rsid w:val="00D3439F"/>
    <w:rsid w:val="00D362D5"/>
    <w:rsid w:val="00D42A81"/>
    <w:rsid w:val="00D45FCF"/>
    <w:rsid w:val="00D519AF"/>
    <w:rsid w:val="00D53F86"/>
    <w:rsid w:val="00D62C5D"/>
    <w:rsid w:val="00D64E21"/>
    <w:rsid w:val="00D65658"/>
    <w:rsid w:val="00D70C28"/>
    <w:rsid w:val="00D73549"/>
    <w:rsid w:val="00D73CB8"/>
    <w:rsid w:val="00D83FAF"/>
    <w:rsid w:val="00D876D2"/>
    <w:rsid w:val="00D87E50"/>
    <w:rsid w:val="00D958E5"/>
    <w:rsid w:val="00DA0870"/>
    <w:rsid w:val="00DA257A"/>
    <w:rsid w:val="00DA30EF"/>
    <w:rsid w:val="00DA4B8A"/>
    <w:rsid w:val="00DB02A7"/>
    <w:rsid w:val="00DB1573"/>
    <w:rsid w:val="00DB6D08"/>
    <w:rsid w:val="00DC16BB"/>
    <w:rsid w:val="00DC1D5F"/>
    <w:rsid w:val="00DC691B"/>
    <w:rsid w:val="00DD29DB"/>
    <w:rsid w:val="00DD4AC2"/>
    <w:rsid w:val="00DE7B64"/>
    <w:rsid w:val="00DF0A24"/>
    <w:rsid w:val="00DF266A"/>
    <w:rsid w:val="00E01F4F"/>
    <w:rsid w:val="00E02840"/>
    <w:rsid w:val="00E03425"/>
    <w:rsid w:val="00E130B9"/>
    <w:rsid w:val="00E14011"/>
    <w:rsid w:val="00E1707E"/>
    <w:rsid w:val="00E23FA2"/>
    <w:rsid w:val="00E35C95"/>
    <w:rsid w:val="00E44F04"/>
    <w:rsid w:val="00E57724"/>
    <w:rsid w:val="00E657A4"/>
    <w:rsid w:val="00E6716A"/>
    <w:rsid w:val="00E67903"/>
    <w:rsid w:val="00E73871"/>
    <w:rsid w:val="00E7409E"/>
    <w:rsid w:val="00E927C7"/>
    <w:rsid w:val="00EA0DFF"/>
    <w:rsid w:val="00EA3495"/>
    <w:rsid w:val="00EA544F"/>
    <w:rsid w:val="00EA78E7"/>
    <w:rsid w:val="00EC2D2E"/>
    <w:rsid w:val="00EC2DBA"/>
    <w:rsid w:val="00EC6EE4"/>
    <w:rsid w:val="00EC72C7"/>
    <w:rsid w:val="00EC7AAC"/>
    <w:rsid w:val="00ED5D98"/>
    <w:rsid w:val="00ED64CE"/>
    <w:rsid w:val="00EE14A9"/>
    <w:rsid w:val="00EE2467"/>
    <w:rsid w:val="00EF0BA7"/>
    <w:rsid w:val="00EF2F23"/>
    <w:rsid w:val="00F01225"/>
    <w:rsid w:val="00F0673A"/>
    <w:rsid w:val="00F10D53"/>
    <w:rsid w:val="00F13A0E"/>
    <w:rsid w:val="00F2036F"/>
    <w:rsid w:val="00F216BF"/>
    <w:rsid w:val="00F24A34"/>
    <w:rsid w:val="00F327E3"/>
    <w:rsid w:val="00F417C8"/>
    <w:rsid w:val="00F4617F"/>
    <w:rsid w:val="00F47550"/>
    <w:rsid w:val="00F5107D"/>
    <w:rsid w:val="00F51F6A"/>
    <w:rsid w:val="00F5253F"/>
    <w:rsid w:val="00F544DB"/>
    <w:rsid w:val="00F61519"/>
    <w:rsid w:val="00F61BCD"/>
    <w:rsid w:val="00F62F01"/>
    <w:rsid w:val="00F6327C"/>
    <w:rsid w:val="00F80C6E"/>
    <w:rsid w:val="00F827C4"/>
    <w:rsid w:val="00F83933"/>
    <w:rsid w:val="00F86958"/>
    <w:rsid w:val="00F870E2"/>
    <w:rsid w:val="00F967F5"/>
    <w:rsid w:val="00FA78BE"/>
    <w:rsid w:val="00FB1059"/>
    <w:rsid w:val="00FB1E26"/>
    <w:rsid w:val="00FB2C3D"/>
    <w:rsid w:val="00FC1745"/>
    <w:rsid w:val="00FC653D"/>
    <w:rsid w:val="00FD7BC5"/>
    <w:rsid w:val="00FE0144"/>
    <w:rsid w:val="00FE23E9"/>
    <w:rsid w:val="00FF1CDA"/>
    <w:rsid w:val="00FF5167"/>
    <w:rsid w:val="00FF5909"/>
    <w:rsid w:val="00FF5BC9"/>
    <w:rsid w:val="00FF7414"/>
    <w:rsid w:val="00FF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33DE"/>
  <w15:chartTrackingRefBased/>
  <w15:docId w15:val="{453A95D4-535D-4F0D-AC87-3CCB560A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BC5"/>
    <w:pPr>
      <w:ind w:left="720"/>
      <w:contextualSpacing/>
    </w:pPr>
  </w:style>
  <w:style w:type="paragraph" w:styleId="a5">
    <w:name w:val="header"/>
    <w:basedOn w:val="a"/>
    <w:link w:val="a6"/>
    <w:uiPriority w:val="99"/>
    <w:unhideWhenUsed/>
    <w:rsid w:val="00D244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44F8"/>
  </w:style>
  <w:style w:type="paragraph" w:styleId="a7">
    <w:name w:val="footer"/>
    <w:basedOn w:val="a"/>
    <w:link w:val="a8"/>
    <w:uiPriority w:val="99"/>
    <w:unhideWhenUsed/>
    <w:rsid w:val="00D244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44F8"/>
  </w:style>
  <w:style w:type="character" w:styleId="a9">
    <w:name w:val="Hyperlink"/>
    <w:basedOn w:val="a0"/>
    <w:uiPriority w:val="99"/>
    <w:unhideWhenUsed/>
    <w:rsid w:val="008B3CF4"/>
    <w:rPr>
      <w:color w:val="0563C1" w:themeColor="hyperlink"/>
      <w:u w:val="single"/>
    </w:rPr>
  </w:style>
  <w:style w:type="character" w:styleId="aa">
    <w:name w:val="Unresolved Mention"/>
    <w:basedOn w:val="a0"/>
    <w:uiPriority w:val="99"/>
    <w:semiHidden/>
    <w:unhideWhenUsed/>
    <w:rsid w:val="008B3CF4"/>
    <w:rPr>
      <w:color w:val="605E5C"/>
      <w:shd w:val="clear" w:color="auto" w:fill="E1DFDD"/>
    </w:rPr>
  </w:style>
  <w:style w:type="table" w:customStyle="1" w:styleId="1">
    <w:name w:val="Сетка таблицы1"/>
    <w:basedOn w:val="a1"/>
    <w:next w:val="a3"/>
    <w:uiPriority w:val="59"/>
    <w:rsid w:val="008B3CF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2172">
      <w:bodyDiv w:val="1"/>
      <w:marLeft w:val="0"/>
      <w:marRight w:val="0"/>
      <w:marTop w:val="0"/>
      <w:marBottom w:val="0"/>
      <w:divBdr>
        <w:top w:val="none" w:sz="0" w:space="0" w:color="auto"/>
        <w:left w:val="none" w:sz="0" w:space="0" w:color="auto"/>
        <w:bottom w:val="none" w:sz="0" w:space="0" w:color="auto"/>
        <w:right w:val="none" w:sz="0" w:space="0" w:color="auto"/>
      </w:divBdr>
    </w:div>
    <w:div w:id="7295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mailto:tuvyb@gov.sp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omitet.tsn.47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2024-04-01T09:03:00Z</cp:lastPrinted>
  <dcterms:created xsi:type="dcterms:W3CDTF">2024-08-27T07:46:00Z</dcterms:created>
  <dcterms:modified xsi:type="dcterms:W3CDTF">2024-08-27T07:46:00Z</dcterms:modified>
</cp:coreProperties>
</file>